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svgz" ContentType="image/svg+xml;base64"/>
  <Override PartName="/word/media/rId38.svgz" ContentType="image/svg+xml;base64"/>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Credit</w:t>
      </w:r>
      <w:r>
        <w:t xml:space="preserve"> </w:t>
      </w:r>
      <w:r>
        <w:t xml:space="preserve">System</w:t>
      </w:r>
      <w:r>
        <w:t xml:space="preserve"> </w:t>
      </w:r>
      <w:r>
        <w:t xml:space="preserve">—</w:t>
      </w:r>
      <w:r>
        <w:t xml:space="preserve"> </w:t>
      </w:r>
      <w:r>
        <w:t xml:space="preserve">Deep</w:t>
      </w:r>
      <w:r>
        <w:t xml:space="preserve"> </w:t>
      </w:r>
      <w:r>
        <w:t xml:space="preserve">Dives</w:t>
      </w:r>
    </w:p>
    <w:bookmarkStart w:id="20" w:name="human-credit-system-deep-dives"/>
    <w:p>
      <w:pPr>
        <w:pStyle w:val="Heading1"/>
      </w:pPr>
      <w:r>
        <w:t xml:space="preserve">Human Credit System</w:t>
      </w:r>
      <w:r>
        <w:br/>
      </w:r>
      <w:r>
        <w:t xml:space="preserve">Deep Dives</w:t>
      </w:r>
    </w:p>
    <w:p>
      <w:pPr>
        <w:pStyle w:val="FirstParagraph"/>
      </w:pPr>
      <w:r>
        <w:t xml:space="preserve">Companion Reference to the Human Credit System Whitepaper</w:t>
      </w:r>
    </w:p>
    <w:p>
      <w:pPr>
        <w:pStyle w:val="BodyText"/>
      </w:pPr>
      <w:r>
        <w:t xml:space="preserve">Version 0.0.18 — February 2026</w:t>
      </w:r>
    </w:p>
    <w:p>
      <w:pPr>
        <w:pStyle w:val="BodyText"/>
      </w:pPr>
      <w:r>
        <w:t xml:space="preserve">humancredit.org</w:t>
      </w:r>
    </w:p>
    <w:bookmarkEnd w:id="20"/>
    <w:p>
      <w:pPr>
        <w:pStyle w:val="BodyText"/>
      </w:pPr>
      <w:r>
        <w:t xml:space="preserve">This document provides detailed analysis on topics referenced in the Human Credit System Whitepaper. Each section is a standalone deep dive that can be read independently.</w:t>
      </w:r>
    </w:p>
    <w:bookmarkStart w:id="21" w:name="contents"/>
    <w:p>
      <w:pPr>
        <w:pStyle w:val="Heading2"/>
      </w:pPr>
      <w:r>
        <w:t xml:space="preserve">Contents</w:t>
      </w:r>
    </w:p>
    <w:p>
      <w:pPr>
        <w:numPr>
          <w:ilvl w:val="0"/>
          <w:numId w:val="1001"/>
        </w:numPr>
        <w:pStyle w:val="Compact"/>
      </w:pPr>
      <w:r>
        <w:t xml:space="preserve">1. Why Traditional Responses Will Fail</w:t>
      </w:r>
    </w:p>
    <w:p>
      <w:pPr>
        <w:numPr>
          <w:ilvl w:val="0"/>
          <w:numId w:val="1001"/>
        </w:numPr>
        <w:pStyle w:val="Compact"/>
      </w:pPr>
      <w:r>
        <w:t xml:space="preserve">2. Traditional vs. Human Credit Value Flow</w:t>
      </w:r>
    </w:p>
    <w:p>
      <w:pPr>
        <w:numPr>
          <w:ilvl w:val="0"/>
          <w:numId w:val="1001"/>
        </w:numPr>
        <w:pStyle w:val="Compact"/>
      </w:pPr>
      <w:r>
        <w:t xml:space="preserve">3. Credit Marketplace Mechanics</w:t>
      </w:r>
    </w:p>
    <w:p>
      <w:pPr>
        <w:numPr>
          <w:ilvl w:val="0"/>
          <w:numId w:val="1001"/>
        </w:numPr>
        <w:pStyle w:val="Compact"/>
      </w:pPr>
      <w:r>
        <w:t xml:space="preserve">4. The Inequality Decoupling Argument</w:t>
      </w:r>
    </w:p>
    <w:p>
      <w:pPr>
        <w:numPr>
          <w:ilvl w:val="0"/>
          <w:numId w:val="1001"/>
        </w:numPr>
        <w:pStyle w:val="Compact"/>
      </w:pPr>
      <w:r>
        <w:t xml:space="preserve">5. Inflation Independence and the Deflation Benefit</w:t>
      </w:r>
    </w:p>
    <w:p>
      <w:pPr>
        <w:numPr>
          <w:ilvl w:val="0"/>
          <w:numId w:val="1001"/>
        </w:numPr>
        <w:pStyle w:val="Compact"/>
      </w:pPr>
      <w:r>
        <w:t xml:space="preserve">6. Entitlement Transition Specifics</w:t>
      </w:r>
    </w:p>
    <w:p>
      <w:pPr>
        <w:numPr>
          <w:ilvl w:val="0"/>
          <w:numId w:val="1001"/>
        </w:numPr>
        <w:pStyle w:val="Compact"/>
      </w:pPr>
      <w:r>
        <w:t xml:space="preserve">7. Healthcare Integration Model</w:t>
      </w:r>
    </w:p>
    <w:p>
      <w:pPr>
        <w:numPr>
          <w:ilvl w:val="0"/>
          <w:numId w:val="1001"/>
        </w:numPr>
        <w:pStyle w:val="Compact"/>
      </w:pPr>
      <w:r>
        <w:t xml:space="preserve">8. Tokenized Human Credit as Adjacent Currency</w:t>
      </w:r>
    </w:p>
    <w:p>
      <w:pPr>
        <w:numPr>
          <w:ilvl w:val="0"/>
          <w:numId w:val="1001"/>
        </w:numPr>
        <w:pStyle w:val="Compact"/>
      </w:pPr>
      <w:r>
        <w:t xml:space="preserve">9. Credit Categories and Values</w:t>
      </w:r>
    </w:p>
    <w:p>
      <w:pPr>
        <w:numPr>
          <w:ilvl w:val="0"/>
          <w:numId w:val="1001"/>
        </w:numPr>
        <w:pStyle w:val="Compact"/>
      </w:pPr>
      <w:r>
        <w:t xml:space="preserve">10. Ensuring Corporate Participation</w:t>
      </w:r>
    </w:p>
    <w:bookmarkEnd w:id="21"/>
    <w:bookmarkStart w:id="25" w:name="why-traditional-responses-will-fail"/>
    <w:p>
      <w:pPr>
        <w:pStyle w:val="Heading1"/>
      </w:pPr>
      <w:r>
        <w:t xml:space="preserve">1. Why Traditional Responses Will Fail</w:t>
      </w:r>
    </w:p>
    <w:p>
      <w:pPr>
        <w:pStyle w:val="FirstParagraph"/>
      </w:pPr>
      <w:r>
        <w:t xml:space="preserve">Referenced from: Whitepaper Section 1</w:t>
      </w:r>
    </w:p>
    <w:bookmarkStart w:id="22" w:name="expanded-government-programs"/>
    <w:p>
      <w:pPr>
        <w:pStyle w:val="Heading2"/>
      </w:pPr>
      <w:r>
        <w:t xml:space="preserve">Expanded Government Programs</w:t>
      </w:r>
    </w:p>
    <w:p>
      <w:pPr>
        <w:pStyle w:val="FirstParagraph"/>
      </w:pPr>
      <w:r>
        <w:t xml:space="preserve">Cannot scale to millions. Create bureaucratic overhead. Deepen political division over who deserves help and who pays. Generate gridlock until crisis forces bad decisions.</w:t>
      </w:r>
    </w:p>
    <w:p>
      <w:pPr>
        <w:pStyle w:val="BodyText"/>
      </w:pPr>
      <w:r>
        <w:t xml:space="preserve">The fundamental problem: government programs require political consensus on who qualifies, what they receive, and who pays for it. In a hyper-partisan environment, achieving that consensus on a program affecting tens of millions of newly displaced workers is effectively impossible within the timeline available.</w:t>
      </w:r>
    </w:p>
    <w:bookmarkEnd w:id="22"/>
    <w:bookmarkStart w:id="23" w:name="pure-universal-basic-income"/>
    <w:p>
      <w:pPr>
        <w:pStyle w:val="Heading2"/>
      </w:pPr>
      <w:r>
        <w:t xml:space="preserve">Pure Universal Basic Income</w:t>
      </w:r>
    </w:p>
    <w:p>
      <w:pPr>
        <w:pStyle w:val="FirstParagraph"/>
      </w:pPr>
      <w:r>
        <w:t xml:space="preserve">Provides cash but not transition support. Viewed by conservatives as socialism and expanded government. Creates no mechanism to mobilize private sector efficiency. Expensive at livable levels.</w:t>
      </w:r>
    </w:p>
    <w:p>
      <w:pPr>
        <w:pStyle w:val="BodyText"/>
      </w:pPr>
      <w:r>
        <w:t xml:space="preserve">UBI addresses the symptom (lost income) but not the underlying challenge (building meaningful post-labor lives). It also lacks any mechanism to harness corporate resources, innovation, or efficiency in supporting people through the transition.</w:t>
      </w:r>
    </w:p>
    <w:bookmarkEnd w:id="23"/>
    <w:bookmarkStart w:id="24" w:name="the-political-deadlock"/>
    <w:p>
      <w:pPr>
        <w:pStyle w:val="Heading2"/>
      </w:pPr>
      <w:r>
        <w:t xml:space="preserve">The Political Deadlock</w:t>
      </w:r>
    </w:p>
    <w:p>
      <w:pPr>
        <w:pStyle w:val="FirstParagraph"/>
      </w:pPr>
      <w:r>
        <w:t xml:space="preserve">Neither approach aligns political forces. Both generate opposition that prevents rapid implementation—and rapid implementation is exactly what the timeline demands. Expanded programs face conservative opposition over government growth. UBI faces opposition from both sides—conservatives see socialism, and progressives worry about adequacy and corporate accountability.</w:t>
      </w:r>
    </w:p>
    <w:p>
      <w:pPr>
        <w:pStyle w:val="BodyText"/>
      </w:pPr>
      <w:r>
        <w:t xml:space="preserve">The Human Credit System resolves this deadlock by delivering conservative and progressive objectives through the same mechanism (see Whitepaper Section 7: Bipartisan Alignment).</w:t>
      </w:r>
    </w:p>
    <w:p>
      <w:r>
        <w:pict>
          <v:rect style="width:0;height:1.5pt" o:hralign="center" o:hrstd="t" o:hr="t"/>
        </w:pict>
      </w:r>
    </w:p>
    <w:bookmarkEnd w:id="24"/>
    <w:bookmarkEnd w:id="25"/>
    <w:bookmarkStart w:id="31" w:name="traditional-vs.-human-credit-value-flow"/>
    <w:p>
      <w:pPr>
        <w:pStyle w:val="Heading1"/>
      </w:pPr>
      <w:r>
        <w:t xml:space="preserve">2. Traditional vs. Human Credit Value Flow</w:t>
      </w:r>
    </w:p>
    <w:p>
      <w:pPr>
        <w:pStyle w:val="FirstParagraph"/>
      </w:pPr>
      <w:r>
        <w:t xml:space="preserve">Referenced from: Whitepaper Section 2</w:t>
      </w:r>
    </w:p>
    <w:bookmarkStart w:id="29" w:name="the-traditional-model"/>
    <w:p>
      <w:pPr>
        <w:pStyle w:val="Heading2"/>
      </w:pPr>
      <w:r>
        <w:t xml:space="preserve">The Traditional Model</w:t>
      </w:r>
    </w:p>
    <w:p>
      <w:pPr>
        <w:pStyle w:val="FirstParagraph"/>
      </w:pPr>
      <w:r>
        <w:t xml:space="preserve">In today's system, value flows linearly through a long chain: Corporation → Taxes → Government → Bureaucracy → Benefits → You.</w:t>
      </w:r>
    </w:p>
    <w:p>
      <w:pPr>
        <w:pStyle w:val="BodyText"/>
      </w:pPr>
      <w:r>
        <w:drawing>
          <wp:inline>
            <wp:extent cx="3810000" cy="2540000"/>
            <wp:effectExtent b="0" l="0" r="0" t="0"/>
            <wp:docPr descr="" title="" id="27" name="Picture"/>
            <a:graphic>
              <a:graphicData uri="http://schemas.openxmlformats.org/drawingml/2006/picture">
                <pic:pic>
                  <pic:nvPicPr>
                    <pic:cNvPr descr="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" id="2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bwMode="auto">
                    <a:xfrm>
                      <a:off x="0" y="0"/>
                      <a:ext cx="3810000" cy="2540000"/>
                    </a:xfrm>
                    <a:prstGeom prst="rect">
                      <a:avLst/>
                    </a:prstGeom>
                    <a:noFill/>
                    <a:ln w="9525">
                      <a:noFill/>
                      <a:headEnd/>
                      <a:tailEnd/>
                    </a:ln>
                  </pic:spPr>
                </pic:pic>
              </a:graphicData>
            </a:graphic>
          </wp:inline>
        </w:drawing>
      </w:r>
    </w:p>
    <w:p>
      <w:pPr>
        <w:pStyle w:val="BodyText"/>
      </w:pPr>
      <w:r>
        <w:t xml:space="preserve">At every step, value is lost. Bureaucratic overhead consumes roughly 30% of funds before they reach recipients. Benefits are standardized—one-size-fits-all regardless of individual needs. And the individual has no voice in the process: no choice of provider, no feedback mechanism, no leverage.</w:t>
      </w:r>
    </w:p>
    <w:bookmarkEnd w:id="29"/>
    <w:bookmarkStart w:id="30" w:name="the-human-credit-inversion"/>
    <w:p>
      <w:pPr>
        <w:pStyle w:val="Heading2"/>
      </w:pPr>
      <w:r>
        <w:t xml:space="preserve">The Human Credit Inversion</w:t>
      </w:r>
    </w:p>
    <w:p>
      <w:pPr>
        <w:pStyle w:val="FirstParagraph"/>
      </w:pPr>
      <w:r>
        <w:t xml:space="preserve">The Human Credit model puts the individual at the center rather than the end. Government issues credits directly to citizens. Citizens choose which corporations to work with. Corporations provide help in whatever form the individual needs. The individual assigns their credit to the corporations that actually delivered. Corporations redeem credits for tax relief.</w:t>
      </w:r>
    </w:p>
    <w:p>
      <w:pPr>
        <w:pStyle w:val="BodyText"/>
      </w:pPr>
      <w:r>
        <w:t xml:space="preserve">This inversion transforms every element of the relationship: the individual goes from passive recipient to active asset holder; corporations go from reluctant taxpayers to motivated service providers; and government goes from sprawling service bureaucracy to lean regulator setting rates and preventing fraud.</w:t>
      </w:r>
    </w:p>
    <w:p>
      <w:r>
        <w:pict>
          <v:rect style="width:0;height:1.5pt" o:hralign="center" o:hrstd="t" o:hr="t"/>
        </w:pict>
      </w:r>
    </w:p>
    <w:bookmarkEnd w:id="30"/>
    <w:bookmarkEnd w:id="31"/>
    <w:bookmarkStart w:id="37" w:name="credit-marketplace-mechanics"/>
    <w:p>
      <w:pPr>
        <w:pStyle w:val="Heading1"/>
      </w:pPr>
      <w:r>
        <w:t xml:space="preserve">3. Credit Marketplace Mechanics</w:t>
      </w:r>
    </w:p>
    <w:p>
      <w:pPr>
        <w:pStyle w:val="FirstParagraph"/>
      </w:pPr>
      <w:r>
        <w:t xml:space="preserve">Referenced from: Whitepaper Sections 7 and 8</w:t>
      </w:r>
    </w:p>
    <w:bookmarkStart w:id="32" w:name="the-ecosystem"/>
    <w:p>
      <w:pPr>
        <w:pStyle w:val="Heading2"/>
      </w:pPr>
      <w:r>
        <w:t xml:space="preserve">The Ecosystem</w:t>
      </w:r>
    </w:p>
    <w:p>
      <w:pPr>
        <w:pStyle w:val="FirstParagraph"/>
      </w:pPr>
      <w:r>
        <w:t xml:space="preserve">The credit marketplace enables three types of participants:</w:t>
      </w:r>
    </w:p>
    <w:p>
      <w:pPr>
        <w:pStyle w:val="BodyText"/>
      </w:pPr>
      <w:r>
        <w:rPr>
          <w:bCs/>
          <w:b/>
        </w:rPr>
        <w:t xml:space="preserve">Direct Providers</w:t>
      </w:r>
      <w:r>
        <w:t xml:space="preserve"> </w:t>
      </w:r>
      <w:r>
        <w:t xml:space="preserve">— Organizations that earn credits by helping people directly. These include specialized retraining firms, healthcare networks, housing organizations, nonprofits, churches, and any entity that delivers verified outcomes to credit holders.</w:t>
      </w:r>
    </w:p>
    <w:p>
      <w:pPr>
        <w:pStyle w:val="BodyText"/>
      </w:pPr>
      <w:r>
        <w:rPr>
          <w:bCs/>
          <w:b/>
        </w:rPr>
        <w:t xml:space="preserve">Credit Purchasers</w:t>
      </w:r>
      <w:r>
        <w:t xml:space="preserve"> </w:t>
      </w:r>
      <w:r>
        <w:t xml:space="preserve">— Corporations with tax liability that prefer to buy credits on the open market rather than deliver services directly. Typically large firms whose core business is unrelated to human services.</w:t>
      </w:r>
    </w:p>
    <w:p>
      <w:pPr>
        <w:pStyle w:val="BodyText"/>
      </w:pPr>
      <w:r>
        <w:rPr>
          <w:bCs/>
          <w:b/>
        </w:rPr>
        <w:t xml:space="preserve">Market Makers</w:t>
      </w:r>
      <w:r>
        <w:t xml:space="preserve"> </w:t>
      </w:r>
      <w:r>
        <w:t xml:space="preserve">— Entities that facilitate trading, provide price discovery, and ensure liquidity in the credit market.</w:t>
      </w:r>
    </w:p>
    <w:bookmarkEnd w:id="32"/>
    <w:bookmarkStart w:id="33" w:name="price-discovery"/>
    <w:p>
      <w:pPr>
        <w:pStyle w:val="Heading2"/>
      </w:pPr>
      <w:r>
        <w:t xml:space="preserve">Price Discovery</w:t>
      </w:r>
    </w:p>
    <w:p>
      <w:pPr>
        <w:pStyle w:val="FirstParagraph"/>
      </w:pPr>
      <w:r>
        <w:t xml:space="preserve">Credit market prices will be determined by supply and demand dynamics:</w:t>
      </w:r>
    </w:p>
    <w:p>
      <w:pPr>
        <w:pStyle w:val="BodyText"/>
      </w:pPr>
      <w:r>
        <w:rPr>
          <w:bCs/>
          <w:b/>
        </w:rPr>
        <w:t xml:space="preserve">Supply side:</w:t>
      </w:r>
      <w:r>
        <w:t xml:space="preserve"> </w:t>
      </w:r>
      <w:r>
        <w:t xml:space="preserve">Service providers accumulate credits through successful outcomes. Their supply depends on how many people they help and at what credit values.</w:t>
      </w:r>
    </w:p>
    <w:p>
      <w:pPr>
        <w:pStyle w:val="BodyText"/>
      </w:pPr>
      <w:r>
        <w:rPr>
          <w:bCs/>
          <w:b/>
        </w:rPr>
        <w:t xml:space="preserve">Demand side:</w:t>
      </w:r>
      <w:r>
        <w:t xml:space="preserve"> </w:t>
      </w:r>
      <w:r>
        <w:t xml:space="preserve">Corporations need credits to offset tax liability. Demand increases with corporate profits and tax rates.</w:t>
      </w:r>
    </w:p>
    <w:p>
      <w:pPr>
        <w:pStyle w:val="BodyText"/>
      </w:pPr>
      <w:r>
        <w:rPr>
          <w:bCs/>
          <w:b/>
        </w:rPr>
        <w:t xml:space="preserve">The price floor:</w:t>
      </w:r>
      <w:r>
        <w:t xml:space="preserve"> </w:t>
      </w:r>
      <w:r>
        <w:t xml:space="preserve">A credit that can offset $1 of tax liability is worth at least $1. But the cost of earning that credit (providing services) is typically $0.25–0.40 per dollar of credit value. This creates an arbitrage that drives participation.</w:t>
      </w:r>
    </w:p>
    <w:p>
      <w:pPr>
        <w:pStyle w:val="BodyText"/>
      </w:pPr>
      <w:r>
        <w:t xml:space="preserve">The market price will settle between the earning cost and face value—providing profit to providers and savings to purchasers relative to paying full taxes.</w:t>
      </w:r>
    </w:p>
    <w:bookmarkEnd w:id="33"/>
    <w:bookmarkStart w:id="34" w:name="provider-specialization"/>
    <w:p>
      <w:pPr>
        <w:pStyle w:val="Heading2"/>
      </w:pPr>
      <w:r>
        <w:t xml:space="preserve">Provider Specialization</w:t>
      </w:r>
    </w:p>
    <w:p>
      <w:pPr>
        <w:pStyle w:val="FirstParagraph"/>
      </w:pPr>
      <w:r>
        <w:t xml:space="preserve">The marketplace enables specialization: Housing providers focus on stable housing outcomes. Healthcare networks focus on medical and mental health categories. Entrepreneurship incubators focus on supporting displaced workers building new ventures. Elder care organizations focus on quality care for aging populations. Education and enrichment firms focus on lifelong learning and creative development. General service firms operate across multiple categories.</w:t>
      </w:r>
    </w:p>
    <w:p>
      <w:pPr>
        <w:pStyle w:val="BodyText"/>
      </w:pPr>
      <w:r>
        <w:t xml:space="preserve">Competition within specializations drives quality. Providers with better outcomes earn more credits and build stronger marketplace reputations.</w:t>
      </w:r>
    </w:p>
    <w:bookmarkEnd w:id="34"/>
    <w:bookmarkStart w:id="35" w:name="anti-monopoly-provisions"/>
    <w:p>
      <w:pPr>
        <w:pStyle w:val="Heading2"/>
      </w:pPr>
      <w:r>
        <w:t xml:space="preserve">Anti-Monopoly Provisions</w:t>
      </w:r>
    </w:p>
    <w:p>
      <w:pPr>
        <w:pStyle w:val="FirstParagraph"/>
      </w:pPr>
      <w:r>
        <w:t xml:space="preserve">Congress can set maximum redemption percentages per provider—for example, no single entity may redeem more than 10% of any category's total credits in a given year. This ensures market diversity and prevents any corporation from dominating the human services ecosystem.</w:t>
      </w:r>
    </w:p>
    <w:bookmarkEnd w:id="35"/>
    <w:bookmarkStart w:id="36" w:name="blockchain-and-transparency"/>
    <w:p>
      <w:pPr>
        <w:pStyle w:val="Heading2"/>
      </w:pPr>
      <w:r>
        <w:t xml:space="preserve">Blockchain and Transparency</w:t>
      </w:r>
    </w:p>
    <w:p>
      <w:pPr>
        <w:pStyle w:val="FirstParagraph"/>
      </w:pPr>
      <w:r>
        <w:t xml:space="preserve">A distributed ledger system could provide immutable recording of credit issuance, assignment, and redemption; real-time fraud detection through pattern analysis; public transparency on provider performance; and instant verification for tax-time redemption. The technical infrastructure exists today. Government adoption would be the primary barrier.</w:t>
      </w:r>
    </w:p>
    <w:p>
      <w:r>
        <w:pict>
          <v:rect style="width:0;height:1.5pt" o:hralign="center" o:hrstd="t" o:hr="t"/>
        </w:pict>
      </w:r>
    </w:p>
    <w:bookmarkEnd w:id="36"/>
    <w:bookmarkEnd w:id="37"/>
    <w:bookmarkStart w:id="46" w:name="the-inequality-decoupling-argument"/>
    <w:p>
      <w:pPr>
        <w:pStyle w:val="Heading1"/>
      </w:pPr>
      <w:r>
        <w:t xml:space="preserve">4. The Inequality Decoupling Argument</w:t>
      </w:r>
    </w:p>
    <w:p>
      <w:pPr>
        <w:pStyle w:val="FirstParagraph"/>
      </w:pPr>
      <w:r>
        <w:t xml:space="preserve">Referenced from: Whitepaper Section 11 (Economic Framework) and Section 14 (Concerns and Responses)</w:t>
      </w:r>
    </w:p>
    <w:p>
      <w:pPr>
        <w:pStyle w:val="BodyText"/>
      </w:pPr>
      <w:r>
        <w:t xml:space="preserve">AI will create extreme wealth concentration. A small number of individuals and corporations will control most of the AI-driven production. This is likely unavoidable.</w:t>
      </w:r>
    </w:p>
    <w:p>
      <w:pPr>
        <w:pStyle w:val="BodyText"/>
      </w:pPr>
      <w:r>
        <w:t xml:space="preserve">The Human Credit doesn't fight that trend. It routes around it.</w:t>
      </w:r>
    </w:p>
    <w:p>
      <w:pPr>
        <w:pStyle w:val="BodyText"/>
      </w:pPr>
      <w:r>
        <w:t xml:space="preserve">Concentrated wealth → Extreme corporate profits → Extreme tax liability → Extreme demand for Human Credits → Resources flow to all credit holders.</w:t>
      </w:r>
    </w:p>
    <w:p>
      <w:pPr>
        <w:pStyle w:val="BodyText"/>
      </w:pP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"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p>
    <w:p>
      <w:pPr>
        <w:pStyle w:val="BodyText"/>
      </w:pPr>
      <w:r>
        <w:t xml:space="preserve">In an abundance economy, what matters is not relative wealth but absolute well-being. If everyone's needs are met, the concentration of wealth at the top becomes irrelevant to daily life.</w:t>
      </w:r>
    </w:p>
    <w:bookmarkStart w:id="41" w:name="the-coming-wealth-explosion"/>
    <w:p>
      <w:pPr>
        <w:pStyle w:val="Heading2"/>
      </w:pPr>
      <w:r>
        <w:t xml:space="preserve">The Coming Wealth Explosion</w:t>
      </w:r>
    </w:p>
    <w:p>
      <w:pPr>
        <w:pStyle w:val="FirstParagraph"/>
      </w:pPr>
      <w:r>
        <w:t xml:space="preserve">Post-AI, the majority of economic value will flow to capital owners. This is the natural consequence of AI replacing labor. Global wealth concentration will accelerate dramatically.</w:t>
      </w:r>
    </w:p>
    <w:bookmarkEnd w:id="41"/>
    <w:bookmarkStart w:id="42" w:name="why-traditional-solutions-dont-work"/>
    <w:p>
      <w:pPr>
        <w:pStyle w:val="Heading2"/>
      </w:pPr>
      <w:r>
        <w:t xml:space="preserve">Why Traditional Solutions Don't Work</w:t>
      </w:r>
    </w:p>
    <w:p>
      <w:pPr>
        <w:pStyle w:val="FirstParagraph"/>
      </w:pPr>
      <w:r>
        <w:t xml:space="preserve">Wealth taxes face valuation challenges, capital flight risk, and constitutional questions. Higher income taxes don't work when there's no income. Nationalization destroys innovation incentives and introduces political capture.</w:t>
      </w:r>
    </w:p>
    <w:bookmarkEnd w:id="42"/>
    <w:bookmarkStart w:id="43" w:name="Xf69157f50a58a764f85e521306ad918a893ec72"/>
    <w:p>
      <w:pPr>
        <w:pStyle w:val="Heading2"/>
      </w:pPr>
      <w:r>
        <w:t xml:space="preserve">The Human Credit Approach: Route Around It</w:t>
      </w:r>
    </w:p>
    <w:p>
      <w:pPr>
        <w:pStyle w:val="FirstParagraph"/>
      </w:pPr>
      <w:r>
        <w:t xml:space="preserve">The Human Credit accepts four realities:</w:t>
      </w:r>
    </w:p>
    <w:p>
      <w:pPr>
        <w:pStyle w:val="BodyText"/>
      </w:pPr>
      <w:r>
        <w:t xml:space="preserve">1. AI will create unprecedented wealth — fighting this is futile and counterproductive.</w:t>
      </w:r>
      <w:r>
        <w:br/>
      </w:r>
      <w:r>
        <w:t xml:space="preserve">2. Wealth will concentrate — capital ownership patterns won't change easily.</w:t>
      </w:r>
      <w:r>
        <w:br/>
      </w:r>
      <w:r>
        <w:t xml:space="preserve">3. Labor displacement is inevitable — the genie won't go back in the bottle.</w:t>
      </w:r>
      <w:r>
        <w:br/>
      </w:r>
      <w:r>
        <w:t xml:space="preserve">4. Humans still need well-being — food, shelter, healthcare, dignity.</w:t>
      </w:r>
    </w:p>
    <w:p>
      <w:pPr>
        <w:pStyle w:val="BodyText"/>
      </w:pPr>
      <w:r>
        <w:t xml:space="preserve">The genius of the system is that it doesn't try to prevent the first three. It ensures the fourth regardless.</w:t>
      </w:r>
    </w:p>
    <w:bookmarkEnd w:id="43"/>
    <w:bookmarkStart w:id="44" w:name="two-economies-one-bridge"/>
    <w:p>
      <w:pPr>
        <w:pStyle w:val="Heading2"/>
      </w:pPr>
      <w:r>
        <w:t xml:space="preserve">Two Economies, One Bridge</w:t>
      </w:r>
    </w:p>
    <w:p>
      <w:pPr>
        <w:pStyle w:val="FirstParagraph"/>
      </w:pPr>
      <w:r>
        <w:t xml:space="preserve">The</w:t>
      </w:r>
      <w:r>
        <w:t xml:space="preserve"> </w:t>
      </w:r>
      <w:r>
        <w:rPr>
          <w:bCs/>
          <w:b/>
        </w:rPr>
        <w:t xml:space="preserve">Wealth Economy</w:t>
      </w:r>
      <w:r>
        <w:t xml:space="preserve"> </w:t>
      </w:r>
      <w:r>
        <w:t xml:space="preserve">operates as it will: AI produces, capital owners accumulate, profits grow.</w:t>
      </w:r>
    </w:p>
    <w:p>
      <w:pPr>
        <w:pStyle w:val="BodyText"/>
      </w:pPr>
      <w:r>
        <w:t xml:space="preserve">The</w:t>
      </w:r>
      <w:r>
        <w:t xml:space="preserve"> </w:t>
      </w:r>
      <w:r>
        <w:rPr>
          <w:bCs/>
          <w:b/>
        </w:rPr>
        <w:t xml:space="preserve">Well-Being Economy</w:t>
      </w:r>
      <w:r>
        <w:t xml:space="preserve"> </w:t>
      </w:r>
      <w:r>
        <w:t xml:space="preserve">operates through Human Credits: all people hold assets, providers compete to serve them, needs are met.</w:t>
      </w:r>
    </w:p>
    <w:p>
      <w:pPr>
        <w:pStyle w:val="BodyText"/>
      </w:pPr>
      <w:r>
        <w:t xml:space="preserve">The bridge between them is the tax/credit mechanism. Corporate tax liability on massive AI profits creates massive demand for Human Credits. That demand ensures resources flow to all humans.</w:t>
      </w:r>
    </w:p>
    <w:p>
      <w:pPr>
        <w:pStyle w:val="BodyText"/>
      </w:pPr>
      <w:r>
        <w:t xml:space="preserve">The two economies are independent but linked. Wealth can grow unboundedly in one ledger. Well-being scales with need in the other. Neither destabilizes the other.</w:t>
      </w:r>
    </w:p>
    <w:bookmarkEnd w:id="44"/>
    <w:bookmarkStart w:id="45" w:name="the-psychological-shift"/>
    <w:p>
      <w:pPr>
        <w:pStyle w:val="Heading2"/>
      </w:pPr>
      <w:r>
        <w:t xml:space="preserve">The Psychological Shift</w:t>
      </w:r>
    </w:p>
    <w:p>
      <w:pPr>
        <w:pStyle w:val="FirstParagraph"/>
      </w:pPr>
      <w:r>
        <w:rPr>
          <w:bCs/>
          <w:b/>
        </w:rPr>
        <w:t xml:space="preserve">Current framing:</w:t>
      </w:r>
      <w:r>
        <w:t xml:space="preserve"> </w:t>
      </w:r>
      <w:r>
        <w:t xml:space="preserve">"The rich have too much, we must take it from them." This generates class warfare, resentment, and political deadlock.</w:t>
      </w:r>
    </w:p>
    <w:p>
      <w:pPr>
        <w:pStyle w:val="BodyText"/>
      </w:pPr>
      <w:r>
        <w:rPr>
          <w:bCs/>
          <w:b/>
        </w:rPr>
        <w:t xml:space="preserve">Human Credit framing:</w:t>
      </w:r>
      <w:r>
        <w:t xml:space="preserve"> </w:t>
      </w:r>
      <w:r>
        <w:t xml:space="preserve">"Let them have their wealth. We have our own system." This removes the zero-sum dynamic. Both sides can coexist without threatening each other.</w:t>
      </w:r>
    </w:p>
    <w:p>
      <w:pPr>
        <w:pStyle w:val="BodyText"/>
      </w:pPr>
      <w:r>
        <w:rPr>
          <w:bCs/>
          <w:b/>
        </w:rPr>
        <w:t xml:space="preserve">The billionaire's perspective:</w:t>
      </w:r>
      <w:r>
        <w:t xml:space="preserve"> </w:t>
      </w:r>
      <w:r>
        <w:t xml:space="preserve">"I keep my wealth. My taxes are manageable if I help people. Stable society protects my assets. I'm not the villain."</w:t>
      </w:r>
    </w:p>
    <w:p>
      <w:pPr>
        <w:pStyle w:val="BodyText"/>
      </w:pPr>
      <w:r>
        <w:rPr>
          <w:bCs/>
          <w:b/>
        </w:rPr>
        <w:t xml:space="preserve">The displaced worker's perspective:</w:t>
      </w:r>
      <w:r>
        <w:t xml:space="preserve"> </w:t>
      </w:r>
      <w:r>
        <w:t xml:space="preserve">"I don't need their charity. I have my own asset. Corporations compete to serve me. My well-being doesn't depend on politics."</w:t>
      </w:r>
    </w:p>
    <w:p>
      <w:pPr>
        <w:pStyle w:val="BodyText"/>
      </w:pPr>
      <w:r>
        <w:t xml:space="preserve">Both sides win. Neither resents the other.</w:t>
      </w:r>
    </w:p>
    <w:p>
      <w:r>
        <w:pict>
          <v:rect style="width:0;height:1.5pt" o:hralign="center" o:hrstd="t" o:hr="t"/>
        </w:pict>
      </w:r>
    </w:p>
    <w:bookmarkEnd w:id="45"/>
    <w:bookmarkEnd w:id="46"/>
    <w:bookmarkStart w:id="51" w:name="X82b1b46b1c4a8426a9363a8348bad79e367db38"/>
    <w:p>
      <w:pPr>
        <w:pStyle w:val="Heading1"/>
      </w:pPr>
      <w:r>
        <w:t xml:space="preserve">5. Inflation Independence and the Deflation Benefit</w:t>
      </w:r>
    </w:p>
    <w:p>
      <w:pPr>
        <w:pStyle w:val="FirstParagraph"/>
      </w:pPr>
      <w:r>
        <w:t xml:space="preserve">Referenced from: Whitepaper Sections 3 and 13</w:t>
      </w:r>
    </w:p>
    <w:bookmarkStart w:id="47" w:name="Xefc6100e5d4ed099c1a06706aa65fa377d9a30f"/>
    <w:p>
      <w:pPr>
        <w:pStyle w:val="Heading2"/>
      </w:pPr>
      <w:r>
        <w:t xml:space="preserve">The Problem with Dollar-Denominated Support</w:t>
      </w:r>
    </w:p>
    <w:p>
      <w:pPr>
        <w:pStyle w:val="FirstParagraph"/>
      </w:pPr>
      <w:r>
        <w:t xml:space="preserve">Traditional support programs and UBI are denominated in dollars. If inflation erodes the dollar, benefits buy less. Government must increase payments to compensate, potentially creating an inflationary spiral.</w:t>
      </w:r>
    </w:p>
    <w:bookmarkEnd w:id="47"/>
    <w:bookmarkStart w:id="48" w:name="how-the-human-credit-escapes-this"/>
    <w:p>
      <w:pPr>
        <w:pStyle w:val="Heading2"/>
      </w:pPr>
      <w:r>
        <w:t xml:space="preserve">How the Human Credit Escapes This</w:t>
      </w:r>
    </w:p>
    <w:p>
      <w:pPr>
        <w:pStyle w:val="FirstParagraph"/>
      </w:pPr>
      <w:r>
        <w:t xml:space="preserve">Human Credit value is anchored to service delivery outcomes, not to a fixed dollar amount. Congress sets credit values annually based on actual costs. If inflation doubles the cost of housing, the housing-related credit value adjusts. If AI drives down costs, credit values can adjust downward while purchasing power remains stable.</w:t>
      </w:r>
    </w:p>
    <w:p>
      <w:pPr>
        <w:pStyle w:val="BodyText"/>
      </w:pPr>
      <w:r>
        <w:t xml:space="preserve">The system is implicitly indexed to reality. Compare this to Social Security's COLA adjustments, which are political fights, always lag actual inflation, and leave recipients with reduced purchasing power during high-inflation years.</w:t>
      </w:r>
    </w:p>
    <w:bookmarkEnd w:id="48"/>
    <w:bookmarkStart w:id="49" w:name="the-ai-deflation-benefit"/>
    <w:p>
      <w:pPr>
        <w:pStyle w:val="Heading2"/>
      </w:pPr>
      <w:r>
        <w:t xml:space="preserve">The AI Deflation Benefit</w:t>
      </w:r>
    </w:p>
    <w:p>
      <w:pPr>
        <w:pStyle w:val="FirstParagraph"/>
      </w:pPr>
      <w:r>
        <w:t xml:space="preserve">AI is expected to drive down the cost of goods and services over time—potentially dramatically. This is productivity-driven disinflation, not the harmful deflation that creates debt spirals.</w:t>
      </w:r>
    </w:p>
    <w:p>
      <w:pPr>
        <w:pStyle w:val="BodyText"/>
      </w:pPr>
      <w:r>
        <w:t xml:space="preserve">Within the Human Credit system, this is a stimulus: Provider costs decrease (they can help more people per credit dollar). The real value of each credit increases. Credit values may decrease in nominal terms while purchasing power increases. The system automatically captures AI's productivity gains and distributes them.</w:t>
      </w:r>
    </w:p>
    <w:bookmarkEnd w:id="49"/>
    <w:bookmarkStart w:id="50" w:name="currency-crisis-immunity"/>
    <w:p>
      <w:pPr>
        <w:pStyle w:val="Heading2"/>
      </w:pPr>
      <w:r>
        <w:t xml:space="preserve">Currency Crisis Immunity</w:t>
      </w:r>
    </w:p>
    <w:p>
      <w:pPr>
        <w:pStyle w:val="FirstParagraph"/>
      </w:pPr>
      <w:r>
        <w:t xml:space="preserve">In a scenario where the dollar loses significant value, traditional benefit programs face crisis. Human Credits, because they are claims on service delivery rather than fixed dollar amounts, continue functioning. Corporations still owe taxes on their profits (in whatever dollars are worth). Credits still buy services. The Human Credit economy operates as a parallel stable-value system anchored to the tax base and real service delivery.</w:t>
      </w:r>
    </w:p>
    <w:p>
      <w:r>
        <w:pict>
          <v:rect style="width:0;height:1.5pt" o:hralign="center" o:hrstd="t" o:hr="t"/>
        </w:pict>
      </w:r>
    </w:p>
    <w:bookmarkEnd w:id="50"/>
    <w:bookmarkEnd w:id="51"/>
    <w:bookmarkStart w:id="59" w:name="entitlement-transition-specifics"/>
    <w:p>
      <w:pPr>
        <w:pStyle w:val="Heading1"/>
      </w:pPr>
      <w:r>
        <w:t xml:space="preserve">6. Entitlement Transition Specifics</w:t>
      </w:r>
    </w:p>
    <w:p>
      <w:pPr>
        <w:pStyle w:val="FirstParagraph"/>
      </w:pPr>
      <w:r>
        <w:t xml:space="preserve">Referenced from: Whitepaper Sections 13 and 15</w:t>
      </w:r>
    </w:p>
    <w:bookmarkStart w:id="52" w:name="principles"/>
    <w:p>
      <w:pPr>
        <w:pStyle w:val="Heading2"/>
      </w:pPr>
      <w:r>
        <w:t xml:space="preserve">Principles</w:t>
      </w:r>
    </w:p>
    <w:p>
      <w:pPr>
        <w:pStyle w:val="FirstParagraph"/>
      </w:pPr>
      <w:r>
        <w:t xml:space="preserve">1. No one loses existing benefits.</w:t>
      </w:r>
      <w:r>
        <w:br/>
      </w:r>
      <w:r>
        <w:t xml:space="preserve">2. New systems prove themselves before old ones phase down.</w:t>
      </w:r>
      <w:r>
        <w:br/>
      </w:r>
      <w:r>
        <w:t xml:space="preserve">3. Transition occurs on strength of results, not ideology.</w:t>
      </w:r>
      <w:r>
        <w:br/>
      </w:r>
      <w:r>
        <w:t xml:space="preserve">4. Vulnerable populations transition last.</w:t>
      </w:r>
    </w:p>
    <w:bookmarkEnd w:id="52"/>
    <w:bookmarkStart w:id="53" w:name="unemployment-insurance-hc"/>
    <w:p>
      <w:pPr>
        <w:pStyle w:val="Heading2"/>
      </w:pPr>
      <w:r>
        <w:t xml:space="preserve">Unemployment Insurance → HC</w:t>
      </w:r>
    </w:p>
    <w:p>
      <w:pPr>
        <w:pStyle w:val="FirstParagraph"/>
      </w:pPr>
      <w:r>
        <w:rPr>
          <w:bCs/>
          <w:b/>
        </w:rPr>
        <w:t xml:space="preserve">Timeline: Years 1–3.</w:t>
      </w:r>
      <w:r>
        <w:t xml:space="preserve"> </w:t>
      </w:r>
      <w:r>
        <w:t xml:space="preserve">Unemployment insurance is the most natural first replacement. Displaced workers receive HC credits instead. The HC system offers more: not just income replacement, but intensive transition support with outcome bonuses for successful reemployment.</w:t>
      </w:r>
    </w:p>
    <w:p>
      <w:pPr>
        <w:pStyle w:val="BodyText"/>
      </w:pPr>
      <w:r>
        <w:t xml:space="preserve">Mechanism: New unemployment claims are processed through HC. Existing recipients continue under current system until their benefits expire naturally.</w:t>
      </w:r>
    </w:p>
    <w:bookmarkEnd w:id="53"/>
    <w:bookmarkStart w:id="54" w:name="snap-food-stamps-hc"/>
    <w:p>
      <w:pPr>
        <w:pStyle w:val="Heading2"/>
      </w:pPr>
      <w:r>
        <w:t xml:space="preserve">SNAP / Food Stamps → HC</w:t>
      </w:r>
    </w:p>
    <w:p>
      <w:pPr>
        <w:pStyle w:val="FirstParagraph"/>
      </w:pPr>
      <w:r>
        <w:rPr>
          <w:bCs/>
          <w:b/>
        </w:rPr>
        <w:t xml:space="preserve">Timeline: Years 2–5.</w:t>
      </w:r>
      <w:r>
        <w:t xml:space="preserve"> </w:t>
      </w:r>
      <w:r>
        <w:t xml:space="preserve">Food security becomes a service category within HC. Providers earn credits by ensuring sustained nutrition access. This replaces the current model of government-issued benefits with market-driven food security services.</w:t>
      </w:r>
    </w:p>
    <w:bookmarkEnd w:id="54"/>
    <w:bookmarkStart w:id="55" w:name="housing-assistance-hc"/>
    <w:p>
      <w:pPr>
        <w:pStyle w:val="Heading2"/>
      </w:pPr>
      <w:r>
        <w:t xml:space="preserve">Housing Assistance → HC</w:t>
      </w:r>
    </w:p>
    <w:p>
      <w:pPr>
        <w:pStyle w:val="FirstParagraph"/>
      </w:pPr>
      <w:r>
        <w:rPr>
          <w:bCs/>
          <w:b/>
        </w:rPr>
        <w:t xml:space="preserve">Timeline: Years 3–8.</w:t>
      </w:r>
      <w:r>
        <w:t xml:space="preserve"> </w:t>
      </w:r>
      <w:r>
        <w:t xml:space="preserve">HC categories for housing (with outcome bonuses for stable housing over 12–24 months) replace government housing programs. Providers compete to deliver housing solutions.</w:t>
      </w:r>
    </w:p>
    <w:bookmarkEnd w:id="55"/>
    <w:bookmarkStart w:id="56" w:name="medicaid-hc"/>
    <w:p>
      <w:pPr>
        <w:pStyle w:val="Heading2"/>
      </w:pPr>
      <w:r>
        <w:t xml:space="preserve">Medicaid → HC</w:t>
      </w:r>
    </w:p>
    <w:p>
      <w:pPr>
        <w:pStyle w:val="FirstParagraph"/>
      </w:pPr>
      <w:r>
        <w:rPr>
          <w:bCs/>
          <w:b/>
        </w:rPr>
        <w:t xml:space="preserve">Timeline: Years 5–10.</w:t>
      </w:r>
      <w:r>
        <w:t xml:space="preserve"> </w:t>
      </w:r>
      <w:r>
        <w:t xml:space="preserve">Healthcare categories within HC replace Medicaid. Insurance companies earn credits for covering eligible populations. The fungibility and refundability of credits create a viable business model.</w:t>
      </w:r>
    </w:p>
    <w:bookmarkEnd w:id="56"/>
    <w:bookmarkStart w:id="57" w:name="social-security-hc-longest-timeline"/>
    <w:p>
      <w:pPr>
        <w:pStyle w:val="Heading2"/>
      </w:pPr>
      <w:r>
        <w:t xml:space="preserve">Social Security → HC (Longest Timeline)</w:t>
      </w:r>
    </w:p>
    <w:p>
      <w:pPr>
        <w:pStyle w:val="FirstParagraph"/>
      </w:pPr>
      <w:r>
        <w:rPr>
          <w:bCs/>
          <w:b/>
        </w:rPr>
        <w:t xml:space="preserve">Timeline: Years 10–20.</w:t>
      </w:r>
      <w:r>
        <w:t xml:space="preserve"> </w:t>
      </w:r>
      <w:r>
        <w:t xml:space="preserve">Social Security replacement is the most sensitive transition. It would only occur if HC has demonstrated clear superiority over many years. HC elder care categories would need to provide comprehensive coverage—income, healthcare, housing, social engagement—before any phase-down begins.</w:t>
      </w:r>
    </w:p>
    <w:p>
      <w:pPr>
        <w:pStyle w:val="BodyText"/>
      </w:pPr>
      <w:r>
        <w:rPr>
          <w:bCs/>
          <w:b/>
        </w:rPr>
        <w:t xml:space="preserve">Critical safeguard:</w:t>
      </w:r>
      <w:r>
        <w:t xml:space="preserve"> </w:t>
      </w:r>
      <w:r>
        <w:t xml:space="preserve">Social Security recipients would always have the option to remain in the current system. HC would need to be demonstrably better for voluntary adoption to occur.</w:t>
      </w:r>
    </w:p>
    <w:bookmarkEnd w:id="57"/>
    <w:bookmarkStart w:id="58" w:name="medicare-hc"/>
    <w:p>
      <w:pPr>
        <w:pStyle w:val="Heading2"/>
      </w:pPr>
      <w:r>
        <w:t xml:space="preserve">Medicare → HC</w:t>
      </w:r>
    </w:p>
    <w:p>
      <w:pPr>
        <w:pStyle w:val="FirstParagraph"/>
      </w:pPr>
      <w:r>
        <w:rPr>
          <w:bCs/>
          <w:b/>
        </w:rPr>
        <w:t xml:space="preserve">Timeline: Years 10–20.</w:t>
      </w:r>
      <w:r>
        <w:t xml:space="preserve"> </w:t>
      </w:r>
      <w:r>
        <w:t xml:space="preserve">Similar to Social Security, Medicare transition is long-term and depends entirely on HC healthcare categories proving superior. The healthcare integration model would need extensive real-world validation.</w:t>
      </w:r>
    </w:p>
    <w:p>
      <w:r>
        <w:pict>
          <v:rect style="width:0;height:1.5pt" o:hralign="center" o:hrstd="t" o:hr="t"/>
        </w:pict>
      </w:r>
    </w:p>
    <w:bookmarkEnd w:id="58"/>
    <w:bookmarkEnd w:id="59"/>
    <w:bookmarkStart w:id="66" w:name="healthcare-integration-model"/>
    <w:p>
      <w:pPr>
        <w:pStyle w:val="Heading1"/>
      </w:pPr>
      <w:r>
        <w:t xml:space="preserve">7. Healthcare Integration Model</w:t>
      </w:r>
    </w:p>
    <w:p>
      <w:pPr>
        <w:pStyle w:val="FirstParagraph"/>
      </w:pPr>
      <w:r>
        <w:t xml:space="preserve">Referenced from: Whitepaper Section 11</w:t>
      </w:r>
    </w:p>
    <w:bookmarkStart w:id="60" w:name="the-current-problem"/>
    <w:p>
      <w:pPr>
        <w:pStyle w:val="Heading2"/>
      </w:pPr>
      <w:r>
        <w:t xml:space="preserve">The Current Problem</w:t>
      </w:r>
    </w:p>
    <w:p>
      <w:pPr>
        <w:pStyle w:val="FirstParagraph"/>
      </w:pPr>
      <w:r>
        <w:t xml:space="preserve">Private healthcare for those who don't qualify for government programs is expensive. Premiums, deductibles, and co-pays create barriers. Coverage is often inadequate. America's healthcare affordability crisis affects tens of millions.</w:t>
      </w:r>
    </w:p>
    <w:bookmarkEnd w:id="60"/>
    <w:bookmarkStart w:id="61" w:name="the-hc-solution"/>
    <w:p>
      <w:pPr>
        <w:pStyle w:val="Heading2"/>
      </w:pPr>
      <w:r>
        <w:t xml:space="preserve">The HC Solution</w:t>
      </w:r>
    </w:p>
    <w:p>
      <w:pPr>
        <w:pStyle w:val="FirstParagraph"/>
      </w:pPr>
      <w:r>
        <w:t xml:space="preserve">Under the Human Credit system, healthcare becomes a credit category. Insurance companies can earn Human Credits by providing coverage to individuals.</w:t>
      </w:r>
    </w:p>
    <w:bookmarkEnd w:id="61"/>
    <w:bookmarkStart w:id="62" w:name="how-it-works"/>
    <w:p>
      <w:pPr>
        <w:pStyle w:val="Heading2"/>
      </w:pPr>
      <w:r>
        <w:t xml:space="preserve">How It Works</w:t>
      </w:r>
    </w:p>
    <w:p>
      <w:pPr>
        <w:pStyle w:val="FirstParagraph"/>
      </w:pPr>
      <w:r>
        <w:t xml:space="preserve">1. Congress creates healthcare credit categories with values calibrated to cover the cost of care plus a reasonable profit margin.</w:t>
      </w:r>
    </w:p>
    <w:p>
      <w:pPr>
        <w:pStyle w:val="BodyText"/>
      </w:pPr>
      <w:r>
        <w:t xml:space="preserve">2. Insurance companies enroll individuals and provide coverage—potentially without premiums, deductibles, or co-pays.</w:t>
      </w:r>
    </w:p>
    <w:p>
      <w:pPr>
        <w:pStyle w:val="BodyText"/>
      </w:pPr>
      <w:r>
        <w:t xml:space="preserve">3. The insurer earns Human Credits based on coverage provided and health outcomes achieved.</w:t>
      </w:r>
    </w:p>
    <w:p>
      <w:pPr>
        <w:pStyle w:val="BodyText"/>
      </w:pPr>
      <w:r>
        <w:t xml:space="preserve">4. The insurer uses those credits in three possible ways: Offset their own corporate taxes. Sell credits on the open exchange to other corporations. Receive government refund (refundability).</w:t>
      </w:r>
    </w:p>
    <w:bookmarkEnd w:id="62"/>
    <w:bookmarkStart w:id="63" w:name="the-business-case"/>
    <w:p>
      <w:pPr>
        <w:pStyle w:val="Heading2"/>
      </w:pPr>
      <w:r>
        <w:t xml:space="preserve">The Business Case</w:t>
      </w:r>
    </w:p>
    <w:p>
      <w:pPr>
        <w:pStyle w:val="FirstParagraph"/>
      </w:pPr>
      <w:r>
        <w:rPr>
          <w:bCs/>
          <w:b/>
        </w:rPr>
        <w:t xml:space="preserve">Cost of acquiring credit</w:t>
      </w:r>
      <w:r>
        <w:t xml:space="preserve"> </w:t>
      </w:r>
      <w:r>
        <w:t xml:space="preserve">(providing care): Some fraction of credit holders will make claims. Actuarial models predict this cost.</w:t>
      </w:r>
    </w:p>
    <w:p>
      <w:pPr>
        <w:pStyle w:val="BodyText"/>
      </w:pPr>
      <w:r>
        <w:rPr>
          <w:bCs/>
          <w:b/>
        </w:rPr>
        <w:t xml:space="preserve">Value of credit earned:</w:t>
      </w:r>
      <w:r>
        <w:t xml:space="preserve"> </w:t>
      </w:r>
      <w:r>
        <w:t xml:space="preserve">Set by Congress to exceed average care costs, ensuring profitability.</w:t>
      </w:r>
    </w:p>
    <w:p>
      <w:pPr>
        <w:pStyle w:val="BodyText"/>
      </w:pPr>
      <w:r>
        <w:rPr>
          <w:bCs/>
          <w:b/>
        </w:rPr>
        <w:t xml:space="preserve">Net result:</w:t>
      </w:r>
      <w:r>
        <w:t xml:space="preserve"> </w:t>
      </w:r>
      <w:r>
        <w:t xml:space="preserve">Insurer profits by providing free coverage.</w:t>
      </w:r>
    </w:p>
    <w:p>
      <w:pPr>
        <w:pStyle w:val="BodyText"/>
      </w:pPr>
      <w:r>
        <w:t xml:space="preserve">The insurer's competition shifts from "who charges the least premium" to "who provides the best outcomes to earn the most credits." This aligns the insurer's profit motive with the patient's health outcomes.</w:t>
      </w:r>
    </w:p>
    <w:bookmarkEnd w:id="63"/>
    <w:bookmarkStart w:id="64" w:name="what-changes-for-the-individual"/>
    <w:p>
      <w:pPr>
        <w:pStyle w:val="Heading2"/>
      </w:pPr>
      <w:r>
        <w:t xml:space="preserve">What Changes for the Individual</w:t>
      </w:r>
    </w:p>
    <w:p>
      <w:pPr>
        <w:pStyle w:val="FirstParagraph"/>
      </w:pPr>
      <w:r>
        <w:t xml:space="preserve">No premiums (coverage is "paid for" by the credit). No deductibles or co-pays. Choice of provider (you assign your healthcare credit to whichever insurer serves you best). Quality competition (insurers compete on care quality to attract credit holders).</w:t>
      </w:r>
    </w:p>
    <w:bookmarkEnd w:id="64"/>
    <w:bookmarkStart w:id="65" w:name="broader-application"/>
    <w:p>
      <w:pPr>
        <w:pStyle w:val="Heading2"/>
      </w:pPr>
      <w:r>
        <w:t xml:space="preserve">Broader Application</w:t>
      </w:r>
    </w:p>
    <w:p>
      <w:pPr>
        <w:pStyle w:val="FirstParagraph"/>
      </w:pPr>
      <w:r>
        <w:t xml:space="preserve">This model is not limited to insurance. It applies to any service domain: Housing providers earn credits by providing stable housing. Training firms earn credits by achieving employment outcomes. Mental health services earn credits by delivering verified care. Elder care facilities earn credits by meeting quality metrics.</w:t>
      </w:r>
    </w:p>
    <w:p>
      <w:pPr>
        <w:pStyle w:val="BodyText"/>
      </w:pPr>
      <w:r>
        <w:t xml:space="preserve">In every case, the pattern is the same: the provider earns a credit worth more than the cost of service, creating a profitable business model around helping people.</w:t>
      </w:r>
    </w:p>
    <w:p>
      <w:r>
        <w:pict>
          <v:rect style="width:0;height:1.5pt" o:hralign="center" o:hrstd="t" o:hr="t"/>
        </w:pict>
      </w:r>
    </w:p>
    <w:bookmarkEnd w:id="65"/>
    <w:bookmarkEnd w:id="66"/>
    <w:bookmarkStart w:id="72" w:name="X0b10782d292d1b0f4f1512c2c7b99bc991aa9f4"/>
    <w:p>
      <w:pPr>
        <w:pStyle w:val="Heading1"/>
      </w:pPr>
      <w:r>
        <w:t xml:space="preserve">8. Tokenized Human Credit as Adjacent Currency</w:t>
      </w:r>
    </w:p>
    <w:p>
      <w:pPr>
        <w:pStyle w:val="FirstParagraph"/>
      </w:pPr>
      <w:r>
        <w:t xml:space="preserve">Referenced from: Whitepaper Section 11</w:t>
      </w:r>
    </w:p>
    <w:bookmarkStart w:id="67" w:name="Xecfc629262961dd8516c581e8618a1fd7aab608"/>
    <w:p>
      <w:pPr>
        <w:pStyle w:val="Heading2"/>
      </w:pPr>
      <w:r>
        <w:t xml:space="preserve">Beyond Tax Credits: The HC as a Parallel Value System</w:t>
      </w:r>
    </w:p>
    <w:p>
      <w:pPr>
        <w:pStyle w:val="FirstParagraph"/>
      </w:pPr>
      <w:r>
        <w:t xml:space="preserve">If Human Credits are implemented on a blockchain or distributed ledger, they acquire properties that go beyond simple tax credits. A tokenized Human Credit becomes, in effect, an adjacent currency—a value system that operates alongside the US dollar but is anchored to fundamentally different foundations.</w:t>
      </w:r>
    </w:p>
    <w:bookmarkEnd w:id="67"/>
    <w:bookmarkStart w:id="68" w:name="X6ec7710744f96cc94e60afd8358312d2721ec11"/>
    <w:p>
      <w:pPr>
        <w:pStyle w:val="Heading2"/>
      </w:pPr>
      <w:r>
        <w:t xml:space="preserve">How Tokenization Creates Currency Properties</w:t>
      </w:r>
    </w:p>
    <w:p>
      <w:pPr>
        <w:pStyle w:val="FirstParagraph"/>
      </w:pPr>
      <w:r>
        <w:t xml:space="preserve">A tokenized HC has measurable, transferable value. It can be fractionalized, traded on exchanges, and used as the basis for transactions between providers, corporations, and potentially individuals. While its primary function is tax offset, its economic properties resemble a currency:</w:t>
      </w:r>
    </w:p>
    <w:p>
      <w:pPr>
        <w:pStyle w:val="BodyText"/>
      </w:pPr>
      <w:r>
        <w:rPr>
          <w:bCs/>
          <w:b/>
        </w:rPr>
        <w:t xml:space="preserve">Store of value:</w:t>
      </w:r>
      <w:r>
        <w:t xml:space="preserve"> </w:t>
      </w:r>
      <w:r>
        <w:t xml:space="preserve">HC credits hold value because they can offset real tax liability dollar-for-dollar.</w:t>
      </w:r>
    </w:p>
    <w:p>
      <w:pPr>
        <w:pStyle w:val="BodyText"/>
      </w:pPr>
      <w:r>
        <w:rPr>
          <w:bCs/>
          <w:b/>
        </w:rPr>
        <w:t xml:space="preserve">Medium of exchange:</w:t>
      </w:r>
      <w:r>
        <w:t xml:space="preserve"> </w:t>
      </w:r>
      <w:r>
        <w:t xml:space="preserve">On the credit marketplace, HC tokens move between service providers and corporations, facilitating economic activity.</w:t>
      </w:r>
    </w:p>
    <w:p>
      <w:pPr>
        <w:pStyle w:val="BodyText"/>
      </w:pPr>
      <w:r>
        <w:rPr>
          <w:bCs/>
          <w:b/>
        </w:rPr>
        <w:t xml:space="preserve">Unit of account:</w:t>
      </w:r>
      <w:r>
        <w:t xml:space="preserve"> </w:t>
      </w:r>
      <w:r>
        <w:t xml:space="preserve">HC categories create standardized values for different types of human support, establishing a price structure for well-being.</w:t>
      </w:r>
    </w:p>
    <w:bookmarkEnd w:id="68"/>
    <w:bookmarkStart w:id="69" w:name="the-shield-effect"/>
    <w:p>
      <w:pPr>
        <w:pStyle w:val="Heading2"/>
      </w:pPr>
      <w:r>
        <w:t xml:space="preserve">The Shield Effect</w:t>
      </w:r>
    </w:p>
    <w:p>
      <w:pPr>
        <w:pStyle w:val="FirstParagraph"/>
      </w:pPr>
      <w:r>
        <w:t xml:space="preserve">This matters enormously in a scenario that many economists consider increasingly likely: a reset of the global financial system. Whether through currency devaluation, sovereign debt crises, loss of reserve currency status, or other systemic shocks, the fiat dollar is vulnerable to disruptions that could devastate traditional benefit programs overnight.</w:t>
      </w:r>
    </w:p>
    <w:p>
      <w:pPr>
        <w:pStyle w:val="BodyText"/>
      </w:pPr>
      <w:r>
        <w:t xml:space="preserve">A tokenized Human Credit provides a shield:</w:t>
      </w:r>
    </w:p>
    <w:p>
      <w:pPr>
        <w:pStyle w:val="BodyText"/>
      </w:pPr>
      <w:r>
        <w:rPr>
          <w:bCs/>
          <w:b/>
        </w:rPr>
        <w:t xml:space="preserve">For citizens:</w:t>
      </w:r>
      <w:r>
        <w:t xml:space="preserve"> </w:t>
      </w:r>
      <w:r>
        <w:t xml:space="preserve">Your HC's value is anchored to service delivery and corporate tax liability—not to the purchasing power of the dollar. If the dollar loses 50% of its value, corporations still owe taxes on their profits. Your HC still commands real services.</w:t>
      </w:r>
    </w:p>
    <w:p>
      <w:pPr>
        <w:pStyle w:val="BodyText"/>
      </w:pPr>
      <w:r>
        <w:rPr>
          <w:bCs/>
          <w:b/>
        </w:rPr>
        <w:t xml:space="preserve">For corporations:</w:t>
      </w:r>
      <w:r>
        <w:t xml:space="preserve"> </w:t>
      </w:r>
      <w:r>
        <w:t xml:space="preserve">HC tokens represent verified tax obligations that can be settled regardless of broader monetary conditions.</w:t>
      </w:r>
    </w:p>
    <w:p>
      <w:pPr>
        <w:pStyle w:val="BodyText"/>
      </w:pPr>
      <w:r>
        <w:rPr>
          <w:bCs/>
          <w:b/>
        </w:rPr>
        <w:t xml:space="preserve">For the economy:</w:t>
      </w:r>
      <w:r>
        <w:t xml:space="preserve"> </w:t>
      </w:r>
      <w:r>
        <w:t xml:space="preserve">A functioning HC system creates a floor of economic activity that persists even through financial crises.</w:t>
      </w:r>
    </w:p>
    <w:bookmarkEnd w:id="69"/>
    <w:bookmarkStart w:id="70" w:name="the-ramifications"/>
    <w:p>
      <w:pPr>
        <w:pStyle w:val="Heading2"/>
      </w:pPr>
      <w:r>
        <w:t xml:space="preserve">The Ramifications</w:t>
      </w:r>
    </w:p>
    <w:p>
      <w:pPr>
        <w:pStyle w:val="FirstParagraph"/>
      </w:pPr>
      <w:r>
        <w:t xml:space="preserve">If the HC becomes a recognized adjacent currency:</w:t>
      </w:r>
    </w:p>
    <w:p>
      <w:pPr>
        <w:pStyle w:val="BodyText"/>
      </w:pPr>
      <w:r>
        <w:rPr>
          <w:bCs/>
          <w:b/>
        </w:rPr>
        <w:t xml:space="preserve">Domestic stability:</w:t>
      </w:r>
      <w:r>
        <w:t xml:space="preserve"> </w:t>
      </w:r>
      <w:r>
        <w:t xml:space="preserve">America has a parallel economic operating system that ensures basic well-being even during financial disruption.</w:t>
      </w:r>
    </w:p>
    <w:p>
      <w:pPr>
        <w:pStyle w:val="BodyText"/>
      </w:pPr>
      <w:r>
        <w:rPr>
          <w:bCs/>
          <w:b/>
        </w:rPr>
        <w:t xml:space="preserve">International implications:</w:t>
      </w:r>
      <w:r>
        <w:t xml:space="preserve"> </w:t>
      </w:r>
      <w:r>
        <w:t xml:space="preserve">A tokenized HC, backed by the full taxing authority of the US government and anchored to real service delivery, could become a reference point for other nations designing their own post-labor support systems.</w:t>
      </w:r>
    </w:p>
    <w:p>
      <w:pPr>
        <w:pStyle w:val="BodyText"/>
      </w:pPr>
      <w:r>
        <w:rPr>
          <w:bCs/>
          <w:b/>
        </w:rPr>
        <w:t xml:space="preserve">Financial system resilience:</w:t>
      </w:r>
      <w:r>
        <w:t xml:space="preserve"> </w:t>
      </w:r>
      <w:r>
        <w:t xml:space="preserve">The existence of a parallel value system reduces the stakes of any single financial crisis.</w:t>
      </w:r>
    </w:p>
    <w:bookmarkEnd w:id="70"/>
    <w:bookmarkStart w:id="71" w:name="important-caveats"/>
    <w:p>
      <w:pPr>
        <w:pStyle w:val="Heading2"/>
      </w:pPr>
      <w:r>
        <w:t xml:space="preserve">Important Caveats</w:t>
      </w:r>
    </w:p>
    <w:p>
      <w:pPr>
        <w:pStyle w:val="FirstParagraph"/>
      </w:pPr>
      <w:r>
        <w:t xml:space="preserve">This is not a cryptocurrency in the speculative sense. HC tokens should not be designed for speculative trading by the general public. Their value derives from their utility in the tax/credit/service system, not from market speculation. Appropriate regulation would need to ensure that the HC marketplace functions for its intended purpose—connecting human need with corporate resources—rather than becoming another financial instrument to be gamed.</w:t>
      </w:r>
    </w:p>
    <w:p>
      <w:pPr>
        <w:pStyle w:val="BodyText"/>
      </w:pPr>
      <w:r>
        <w:t xml:space="preserve">The adjacent currency properties of tokenized HC are an emergent benefit of the system's design, not its primary purpose. But they may prove to be among its most valuable features if the global financial order experiences the disruptions many economists anticipate.</w:t>
      </w:r>
    </w:p>
    <w:p>
      <w:r>
        <w:pict>
          <v:rect style="width:0;height:1.5pt" o:hralign="center" o:hrstd="t" o:hr="t"/>
        </w:pict>
      </w:r>
    </w:p>
    <w:bookmarkEnd w:id="71"/>
    <w:bookmarkEnd w:id="72"/>
    <w:bookmarkStart w:id="75" w:name="credit-categories-and-values"/>
    <w:p>
      <w:pPr>
        <w:pStyle w:val="Heading1"/>
      </w:pPr>
      <w:r>
        <w:t xml:space="preserve">9. Credit Categories and Values</w:t>
      </w:r>
    </w:p>
    <w:p>
      <w:pPr>
        <w:pStyle w:val="FirstParagraph"/>
      </w:pPr>
      <w:r>
        <w:t xml:space="preserve">Referenced from: Whitepaper Section 2</w:t>
      </w:r>
    </w:p>
    <w:p>
      <w:pPr>
        <w:pStyle w:val="BodyText"/>
      </w:pPr>
      <w:r>
        <w:t xml:space="preserve">Congress sets official Human Credit categories and associated values each year. Categories reflect different life circumstances and needs.</w:t>
      </w:r>
    </w:p>
    <w:p>
      <w:pPr>
        <w:pStyle w:val="BodyText"/>
      </w:pPr>
      <w:r>
        <w:t xml:space="preserve">Critical design element: Credit values are structured with base amounts plus outcome bonuses to ensure providers actually succeed in helping people, not just claim to help them.</w:t>
      </w:r>
    </w:p>
    <w:p>
      <w:pPr>
        <w:pStyle w:val="BodyText"/>
      </w:pPr>
      <w:r>
        <w:t xml:space="preserve">Categories may be mutually exclusive, overlapping, or modular (housing + healthcare + training combined). This flexibility allows Congress to adapt the system to different policy goals and geographic needs—for instance, higher credit values for rural medical care by zip code. Classification determination mechanisms would be negotiated in legislation.</w:t>
      </w:r>
    </w:p>
    <w:p>
      <w:pPr>
        <w:pStyle w:val="BodyText"/>
      </w:pPr>
      <w:r>
        <w:rPr>
          <w:bCs/>
          <w:b/>
        </w:rPr>
        <w:t xml:space="preserve">The following are illustrative examples only.</w:t>
      </w:r>
      <w:r>
        <w:t xml:space="preserve"> </w:t>
      </w:r>
      <w:r>
        <w:t xml:space="preserve">Actual categories, structures, and values would emerge through legislative deliberation and economic modeling.</w:t>
      </w:r>
    </w:p>
    <w:bookmarkStart w:id="73" w:name="example-1-mutually-exclusive-categories"/>
    <w:p>
      <w:pPr>
        <w:pStyle w:val="Heading2"/>
      </w:pPr>
      <w:r>
        <w:t xml:space="preserve">Example 1: Mutually Exclusive Categories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Situation</w:t>
            </w:r>
          </w:p>
        </w:tc>
        <w:tc>
          <w:tcPr/>
          <w:p>
            <w:pPr>
              <w:pStyle w:val="Compact"/>
              <w:jc w:val="left"/>
            </w:pPr>
            <w:r>
              <w:t xml:space="preserve">Base Value</w:t>
            </w:r>
          </w:p>
        </w:tc>
        <w:tc>
          <w:tcPr/>
          <w:p>
            <w:pPr>
              <w:pStyle w:val="Compact"/>
              <w:jc w:val="left"/>
            </w:pPr>
            <w:r>
              <w:t xml:space="preserve">Outcome Bonus</w:t>
            </w:r>
          </w:p>
        </w:tc>
        <w:tc>
          <w:tcPr/>
          <w:p>
            <w:pPr>
              <w:pStyle w:val="Compact"/>
              <w:jc w:val="left"/>
            </w:pPr>
            <w:r>
              <w:t xml:space="preserve">Total Potential</w:t>
            </w:r>
          </w:p>
        </w:tc>
      </w:tr>
      <w:tr>
        <w:tc>
          <w:tcPr/>
          <w:p>
            <w:pPr>
              <w:pStyle w:val="Compact"/>
              <w:jc w:val="left"/>
            </w:pPr>
            <w:r>
              <w:t xml:space="preserve">A</w:t>
            </w:r>
          </w:p>
        </w:tc>
        <w:tc>
          <w:tcPr/>
          <w:p>
            <w:pPr>
              <w:pStyle w:val="Compact"/>
              <w:jc w:val="left"/>
            </w:pPr>
            <w:r>
              <w:t xml:space="preserve">Employed / Stable</w:t>
            </w:r>
          </w:p>
        </w:tc>
        <w:tc>
          <w:tcPr/>
          <w:p>
            <w:pPr>
              <w:pStyle w:val="Compact"/>
              <w:jc w:val="left"/>
            </w:pPr>
            <w:r>
              <w:t xml:space="preserve">$5,000</w:t>
            </w:r>
          </w:p>
        </w:tc>
        <w:tc>
          <w:tcPr/>
          <w:p>
            <w:pPr>
              <w:pStyle w:val="Compact"/>
              <w:jc w:val="left"/>
            </w:pPr>
            <w:r>
              <w:t xml:space="preserve">—</w:t>
            </w:r>
          </w:p>
        </w:tc>
        <w:tc>
          <w:tcPr/>
          <w:p>
            <w:pPr>
              <w:pStyle w:val="Compact"/>
              <w:jc w:val="left"/>
            </w:pPr>
            <w:r>
              <w:t xml:space="preserve">$5,000</w:t>
            </w:r>
          </w:p>
        </w:tc>
      </w:tr>
      <w:tr>
        <w:tc>
          <w:tcPr/>
          <w:p>
            <w:pPr>
              <w:pStyle w:val="Compact"/>
              <w:jc w:val="left"/>
            </w:pPr>
            <w:r>
              <w:t xml:space="preserve">B</w:t>
            </w:r>
          </w:p>
        </w:tc>
        <w:tc>
          <w:tcPr/>
          <w:p>
            <w:pPr>
              <w:pStyle w:val="Compact"/>
              <w:jc w:val="left"/>
            </w:pPr>
            <w:r>
              <w:t xml:space="preserve">Recently Unemployed</w:t>
            </w:r>
          </w:p>
        </w:tc>
        <w:tc>
          <w:tcPr/>
          <w:p>
            <w:pPr>
              <w:pStyle w:val="Compact"/>
              <w:jc w:val="left"/>
            </w:pPr>
            <w:r>
              <w:t xml:space="preserve">$15,000</w:t>
            </w:r>
          </w:p>
        </w:tc>
        <w:tc>
          <w:tcPr/>
          <w:p>
            <w:pPr>
              <w:pStyle w:val="Compact"/>
              <w:jc w:val="left"/>
            </w:pPr>
            <w:r>
              <w:t xml:space="preserve">+$35,000 if employed within 6 months</w:t>
            </w:r>
          </w:p>
        </w:tc>
        <w:tc>
          <w:tcPr/>
          <w:p>
            <w:pPr>
              <w:pStyle w:val="Compact"/>
              <w:jc w:val="left"/>
            </w:pPr>
            <w:r>
              <w:t xml:space="preserve">$50,000</w:t>
            </w:r>
          </w:p>
        </w:tc>
      </w:tr>
      <w:tr>
        <w:tc>
          <w:tcPr/>
          <w:p>
            <w:pPr>
              <w:pStyle w:val="Compact"/>
              <w:jc w:val="left"/>
            </w:pPr>
            <w:r>
              <w:t xml:space="preserve">C</w:t>
            </w:r>
          </w:p>
        </w:tc>
        <w:tc>
          <w:tcPr/>
          <w:p>
            <w:pPr>
              <w:pStyle w:val="Compact"/>
              <w:jc w:val="left"/>
            </w:pPr>
            <w:r>
              <w:t xml:space="preserve">Displaced by Automation</w:t>
            </w:r>
          </w:p>
        </w:tc>
        <w:tc>
          <w:tcPr/>
          <w:p>
            <w:pPr>
              <w:pStyle w:val="Compact"/>
              <w:jc w:val="left"/>
            </w:pPr>
            <w:r>
              <w:t xml:space="preserve">$25,000</w:t>
            </w:r>
          </w:p>
        </w:tc>
        <w:tc>
          <w:tcPr/>
          <w:p>
            <w:pPr>
              <w:pStyle w:val="Compact"/>
              <w:jc w:val="left"/>
            </w:pPr>
            <w:r>
              <w:t xml:space="preserve">+$75,000 if retrained and employed within 12 months; +$50,000 if still employed at 24 months</w:t>
            </w:r>
          </w:p>
        </w:tc>
        <w:tc>
          <w:tcPr/>
          <w:p>
            <w:pPr>
              <w:pStyle w:val="Compact"/>
              <w:jc w:val="left"/>
            </w:pPr>
            <w:r>
              <w:t xml:space="preserve">$150,000</w:t>
            </w:r>
          </w:p>
        </w:tc>
      </w:tr>
      <w:tr>
        <w:tc>
          <w:tcPr/>
          <w:p>
            <w:pPr>
              <w:pStyle w:val="Compact"/>
              <w:jc w:val="left"/>
            </w:pPr>
            <w:r>
              <w:t xml:space="preserve">D</w:t>
            </w:r>
          </w:p>
        </w:tc>
        <w:tc>
          <w:tcPr/>
          <w:p>
            <w:pPr>
              <w:pStyle w:val="Compact"/>
              <w:jc w:val="left"/>
            </w:pPr>
            <w:r>
              <w:t xml:space="preserve">Homeless</w:t>
            </w:r>
          </w:p>
        </w:tc>
        <w:tc>
          <w:tcPr/>
          <w:p>
            <w:pPr>
              <w:pStyle w:val="Compact"/>
              <w:jc w:val="left"/>
            </w:pPr>
            <w:r>
              <w:t xml:space="preserve">$10,000</w:t>
            </w:r>
          </w:p>
        </w:tc>
        <w:tc>
          <w:tcPr/>
          <w:p>
            <w:pPr>
              <w:pStyle w:val="Compact"/>
              <w:jc w:val="left"/>
            </w:pPr>
            <w:r>
              <w:t xml:space="preserve">+$40,000 if stably housed 12+ months; +$30,000 if employed and housed 24+ months</w:t>
            </w:r>
          </w:p>
        </w:tc>
        <w:tc>
          <w:tcPr/>
          <w:p>
            <w:pPr>
              <w:pStyle w:val="Compact"/>
              <w:jc w:val="left"/>
            </w:pPr>
            <w:r>
              <w:t xml:space="preserve">$80,000</w:t>
            </w:r>
          </w:p>
        </w:tc>
      </w:tr>
      <w:tr>
        <w:tc>
          <w:tcPr/>
          <w:p>
            <w:pPr>
              <w:pStyle w:val="Compact"/>
              <w:jc w:val="left"/>
            </w:pPr>
            <w:r>
              <w:t xml:space="preserve">E</w:t>
            </w:r>
          </w:p>
        </w:tc>
        <w:tc>
          <w:tcPr/>
          <w:p>
            <w:pPr>
              <w:pStyle w:val="Compact"/>
              <w:jc w:val="left"/>
            </w:pPr>
            <w:r>
              <w:t xml:space="preserve">Elderly / High-Need Care</w:t>
            </w:r>
          </w:p>
        </w:tc>
        <w:tc>
          <w:tcPr/>
          <w:p>
            <w:pPr>
              <w:pStyle w:val="Compact"/>
              <w:jc w:val="left"/>
            </w:pPr>
            <w:r>
              <w:t xml:space="preserve">$8,000</w:t>
            </w:r>
          </w:p>
        </w:tc>
        <w:tc>
          <w:tcPr/>
          <w:p>
            <w:pPr>
              <w:pStyle w:val="Compact"/>
              <w:jc w:val="left"/>
            </w:pPr>
            <w:r>
              <w:t xml:space="preserve">+$12,000 for verified quality care metrics</w:t>
            </w:r>
          </w:p>
        </w:tc>
        <w:tc>
          <w:tcPr/>
          <w:p>
            <w:pPr>
              <w:pStyle w:val="Compact"/>
              <w:jc w:val="left"/>
            </w:pPr>
            <w:r>
              <w:t xml:space="preserve">$20,000</w:t>
            </w:r>
          </w:p>
        </w:tc>
      </w:tr>
    </w:tbl>
    <w:bookmarkEnd w:id="73"/>
    <w:bookmarkStart w:id="74" w:name="example-2-modular-categories-stackable"/>
    <w:p>
      <w:pPr>
        <w:pStyle w:val="Heading2"/>
      </w:pPr>
      <w:r>
        <w:t xml:space="preserve">Example 2: Modular Categories (Stackable)</w:t>
      </w:r>
    </w:p>
    <w:p>
      <w:pPr>
        <w:pStyle w:val="FirstParagraph"/>
      </w:pPr>
      <w:r>
        <w:t xml:space="preserve">A person might qualify for multiple modules simultaneously: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Module</w:t>
            </w:r>
          </w:p>
        </w:tc>
        <w:tc>
          <w:tcPr/>
          <w:p>
            <w:pPr>
              <w:pStyle w:val="Compact"/>
              <w:jc w:val="left"/>
            </w:pPr>
            <w:r>
              <w:t xml:space="preserve">Need</w:t>
            </w:r>
          </w:p>
        </w:tc>
        <w:tc>
          <w:tcPr/>
          <w:p>
            <w:pPr>
              <w:pStyle w:val="Compact"/>
              <w:jc w:val="left"/>
            </w:pPr>
            <w:r>
              <w:t xml:space="preserve">Credit Value</w:t>
            </w:r>
          </w:p>
        </w:tc>
        <w:tc>
          <w:tcPr/>
          <w:p>
            <w:pPr>
              <w:pStyle w:val="Compact"/>
              <w:jc w:val="left"/>
            </w:pPr>
            <w:r>
              <w:t xml:space="preserve">Outcome Bonus</w:t>
            </w:r>
          </w:p>
        </w:tc>
      </w:tr>
      <w:tr>
        <w:tc>
          <w:tcPr/>
          <w:p>
            <w:pPr>
              <w:pStyle w:val="Compact"/>
              <w:jc w:val="left"/>
            </w:pPr>
            <w:r>
              <w:t xml:space="preserve">Housing</w:t>
            </w:r>
          </w:p>
        </w:tc>
        <w:tc>
          <w:tcPr/>
          <w:p>
            <w:pPr>
              <w:pStyle w:val="Compact"/>
              <w:jc w:val="left"/>
            </w:pPr>
            <w:r>
              <w:t xml:space="preserve">Needs stable housing</w:t>
            </w:r>
          </w:p>
        </w:tc>
        <w:tc>
          <w:tcPr/>
          <w:p>
            <w:pPr>
              <w:pStyle w:val="Compact"/>
              <w:jc w:val="left"/>
            </w:pPr>
            <w:r>
              <w:t xml:space="preserve">$15,000</w:t>
            </w:r>
          </w:p>
        </w:tc>
        <w:tc>
          <w:tcPr/>
          <w:p>
            <w:pPr>
              <w:pStyle w:val="Compact"/>
              <w:jc w:val="left"/>
            </w:pPr>
            <w:r>
              <w:t xml:space="preserve">+$25,000 if stably housed 12+ months</w:t>
            </w:r>
          </w:p>
        </w:tc>
      </w:tr>
      <w:tr>
        <w:tc>
          <w:tcPr/>
          <w:p>
            <w:pPr>
              <w:pStyle w:val="Compact"/>
              <w:jc w:val="left"/>
            </w:pPr>
            <w:r>
              <w:t xml:space="preserve">Healthcare</w:t>
            </w:r>
          </w:p>
        </w:tc>
        <w:tc>
          <w:tcPr/>
          <w:p>
            <w:pPr>
              <w:pStyle w:val="Compact"/>
              <w:jc w:val="left"/>
            </w:pPr>
            <w:r>
              <w:t xml:space="preserve">Chronic condition or uninsured</w:t>
            </w:r>
          </w:p>
        </w:tc>
        <w:tc>
          <w:tcPr/>
          <w:p>
            <w:pPr>
              <w:pStyle w:val="Compact"/>
              <w:jc w:val="left"/>
            </w:pPr>
            <w:r>
              <w:t xml:space="preserve">$10,000</w:t>
            </w:r>
          </w:p>
        </w:tc>
        <w:tc>
          <w:tcPr/>
          <w:p>
            <w:pPr>
              <w:pStyle w:val="Compact"/>
              <w:jc w:val="left"/>
            </w:pPr>
            <w:r>
              <w:t xml:space="preserve">+$15,000 for verified health outcomes</w:t>
            </w:r>
          </w:p>
        </w:tc>
      </w:tr>
      <w:tr>
        <w:tc>
          <w:tcPr/>
          <w:p>
            <w:pPr>
              <w:pStyle w:val="Compact"/>
              <w:jc w:val="left"/>
            </w:pPr>
            <w:r>
              <w:t xml:space="preserve">Skills / Entrepreneurship</w:t>
            </w:r>
          </w:p>
        </w:tc>
        <w:tc>
          <w:tcPr/>
          <w:p>
            <w:pPr>
              <w:pStyle w:val="Compact"/>
              <w:jc w:val="left"/>
            </w:pPr>
            <w:r>
              <w:t xml:space="preserve">Displaced, seeking new direction</w:t>
            </w:r>
          </w:p>
        </w:tc>
        <w:tc>
          <w:tcPr/>
          <w:p>
            <w:pPr>
              <w:pStyle w:val="Compact"/>
              <w:jc w:val="left"/>
            </w:pPr>
            <w:r>
              <w:t xml:space="preserve">$20,000</w:t>
            </w:r>
          </w:p>
        </w:tc>
        <w:tc>
          <w:tcPr/>
          <w:p>
            <w:pPr>
              <w:pStyle w:val="Compact"/>
              <w:jc w:val="left"/>
            </w:pPr>
            <w:r>
              <w:t xml:space="preserve">+$40,000 if self-sustaining within 18 months</w:t>
            </w:r>
          </w:p>
        </w:tc>
      </w:tr>
      <w:tr>
        <w:tc>
          <w:tcPr/>
          <w:p>
            <w:pPr>
              <w:pStyle w:val="Compact"/>
              <w:jc w:val="left"/>
            </w:pPr>
            <w:r>
              <w:t xml:space="preserve">Mental Health</w:t>
            </w:r>
          </w:p>
        </w:tc>
        <w:tc>
          <w:tcPr/>
          <w:p>
            <w:pPr>
              <w:pStyle w:val="Compact"/>
              <w:jc w:val="left"/>
            </w:pPr>
            <w:r>
              <w:t xml:space="preserve">Needs ongoing support</w:t>
            </w:r>
          </w:p>
        </w:tc>
        <w:tc>
          <w:tcPr/>
          <w:p>
            <w:pPr>
              <w:pStyle w:val="Compact"/>
              <w:jc w:val="left"/>
            </w:pPr>
            <w:r>
              <w:t xml:space="preserve">$8,000</w:t>
            </w:r>
          </w:p>
        </w:tc>
        <w:tc>
          <w:tcPr/>
          <w:p>
            <w:pPr>
              <w:pStyle w:val="Compact"/>
              <w:jc w:val="left"/>
            </w:pPr>
            <w:r>
              <w:t xml:space="preserve">+$12,000 for sustained engagement</w:t>
            </w:r>
          </w:p>
        </w:tc>
      </w:tr>
    </w:tbl>
    <w:p>
      <w:pPr>
        <w:pStyle w:val="BodyText"/>
      </w:pPr>
      <w:r>
        <w:t xml:space="preserve">A displaced worker who is also uninsured and needs housing could hold a combined credit worth $53,000 base with up to $92,000 in outcome bonuses—$145,000 total. Different providers could serve different modules, each earning credits for their area of specialization.</w:t>
      </w:r>
    </w:p>
    <w:p>
      <w:pPr>
        <w:pStyle w:val="BodyText"/>
      </w:pPr>
      <w:r>
        <w:t xml:space="preserve">These values are illustrative. Actual values would be calibrated to ensure sufficient ROI to drive corporate participation while achieving genuine outcomes.</w:t>
      </w:r>
    </w:p>
    <w:p>
      <w:r>
        <w:pict>
          <v:rect style="width:0;height:1.5pt" o:hralign="center" o:hrstd="t" o:hr="t"/>
        </w:pict>
      </w:r>
    </w:p>
    <w:bookmarkEnd w:id="74"/>
    <w:bookmarkEnd w:id="75"/>
    <w:bookmarkStart w:id="81" w:name="ensuring-corporate-participation"/>
    <w:p>
      <w:pPr>
        <w:pStyle w:val="Heading1"/>
      </w:pPr>
      <w:r>
        <w:t xml:space="preserve">10. Ensuring Corporate Participation</w:t>
      </w:r>
    </w:p>
    <w:p>
      <w:pPr>
        <w:pStyle w:val="FirstParagraph"/>
      </w:pPr>
      <w:r>
        <w:t xml:space="preserve">Referenced from: Whitepaper Core Framework</w:t>
      </w:r>
    </w:p>
    <w:p>
      <w:pPr>
        <w:pStyle w:val="BodyText"/>
      </w:pPr>
      <w:r>
        <w:t xml:space="preserve">The system only works if companies participate at scale. We cannot assume voluntary participation—we must create structural incentives.</w:t>
      </w:r>
    </w:p>
    <w:bookmarkStart w:id="76" w:name="X7aef619d3e20dc901b5695d1f04dcda34a857e8"/>
    <w:p>
      <w:pPr>
        <w:pStyle w:val="Heading2"/>
      </w:pPr>
      <w:r>
        <w:t xml:space="preserve">Strategy 1: Make Participation Irresistible</w:t>
      </w:r>
    </w:p>
    <w:p>
      <w:pPr>
        <w:pStyle w:val="FirstParagraph"/>
      </w:pPr>
      <w:r>
        <w:rPr>
          <w:bCs/>
          <w:b/>
        </w:rPr>
        <w:t xml:space="preserve">Progressive Corporate Tax Rates + HC Offset:</w:t>
      </w:r>
    </w:p>
    <w:p>
      <w:pPr>
        <w:numPr>
          <w:ilvl w:val="0"/>
          <w:numId w:val="1002"/>
        </w:numPr>
        <w:pStyle w:val="Compact"/>
      </w:pPr>
      <w:r>
        <w:t xml:space="preserve">Base corporate rate: 28% (for companies that don't participate)</w:t>
      </w:r>
    </w:p>
    <w:p>
      <w:pPr>
        <w:numPr>
          <w:ilvl w:val="0"/>
          <w:numId w:val="1002"/>
        </w:numPr>
        <w:pStyle w:val="Compact"/>
      </w:pPr>
      <w:r>
        <w:t xml:space="preserve">HC redemption can reduce effective rate to as low as 12%</w:t>
      </w:r>
    </w:p>
    <w:p>
      <w:pPr>
        <w:numPr>
          <w:ilvl w:val="0"/>
          <w:numId w:val="1002"/>
        </w:numPr>
        <w:pStyle w:val="Compact"/>
      </w:pPr>
      <w:r>
        <w:t xml:space="preserve">Creates 16-percentage-point incentive to participate</w:t>
      </w:r>
    </w:p>
    <w:p>
      <w:pPr>
        <w:pStyle w:val="FirstParagraph"/>
      </w:pPr>
      <w:r>
        <w:rPr>
          <w:bCs/>
          <w:b/>
        </w:rPr>
        <w:t xml:space="preserve">Example:</w:t>
      </w:r>
    </w:p>
    <w:p>
      <w:pPr>
        <w:numPr>
          <w:ilvl w:val="0"/>
          <w:numId w:val="1003"/>
        </w:numPr>
        <w:pStyle w:val="Compact"/>
      </w:pPr>
      <w:r>
        <w:t xml:space="preserve">Company with $1B profit</w:t>
      </w:r>
    </w:p>
    <w:p>
      <w:pPr>
        <w:numPr>
          <w:ilvl w:val="0"/>
          <w:numId w:val="1003"/>
        </w:numPr>
        <w:pStyle w:val="Compact"/>
      </w:pPr>
      <w:r>
        <w:t xml:space="preserve">Without HC: Pays $280M in taxes (28%)</w:t>
      </w:r>
    </w:p>
    <w:p>
      <w:pPr>
        <w:numPr>
          <w:ilvl w:val="0"/>
          <w:numId w:val="1003"/>
        </w:numPr>
        <w:pStyle w:val="Compact"/>
      </w:pPr>
      <w:r>
        <w:t xml:space="preserve">With HC: Helps people, earns $160M in credits, pays $120M in taxes (12% effective)</w:t>
      </w:r>
    </w:p>
    <w:p>
      <w:pPr>
        <w:numPr>
          <w:ilvl w:val="0"/>
          <w:numId w:val="1003"/>
        </w:numPr>
        <w:pStyle w:val="Compact"/>
      </w:pPr>
      <w:r>
        <w:t xml:space="preserve">Savings: $160M plus reputational benefit</w:t>
      </w:r>
    </w:p>
    <w:p>
      <w:pPr>
        <w:pStyle w:val="FirstParagraph"/>
      </w:pPr>
      <w:r>
        <w:t xml:space="preserve">For high-profit companies, this is impossible to ignore.</w:t>
      </w:r>
    </w:p>
    <w:bookmarkEnd w:id="76"/>
    <w:bookmarkStart w:id="77" w:name="Xdc640f744e56f0b7250993e448b367aeaf2bba9"/>
    <w:p>
      <w:pPr>
        <w:pStyle w:val="Heading2"/>
      </w:pPr>
      <w:r>
        <w:t xml:space="preserve">Strategy 2: Phase Out All Other Tax Avoidance</w:t>
      </w:r>
    </w:p>
    <w:p>
      <w:pPr>
        <w:pStyle w:val="FirstParagraph"/>
      </w:pPr>
      <w:r>
        <w:t xml:space="preserve">Gradually sunset all other forms of corporate tax deferral, deduction, and avoidance. Over time, Human Credit redemption becomes the only way for corporations to reduce their tax liability.</w:t>
      </w:r>
    </w:p>
    <w:p>
      <w:pPr>
        <w:numPr>
          <w:ilvl w:val="0"/>
          <w:numId w:val="1004"/>
        </w:numPr>
        <w:pStyle w:val="Compact"/>
      </w:pPr>
      <w:r>
        <w:rPr>
          <w:bCs/>
          <w:b/>
        </w:rPr>
        <w:t xml:space="preserve">Year 1–5:</w:t>
      </w:r>
      <w:r>
        <w:t xml:space="preserve"> </w:t>
      </w:r>
      <w:r>
        <w:t xml:space="preserve">HC operates alongside existing tax code. All current deductions and strategies remain available.</w:t>
      </w:r>
    </w:p>
    <w:p>
      <w:pPr>
        <w:numPr>
          <w:ilvl w:val="0"/>
          <w:numId w:val="1004"/>
        </w:numPr>
        <w:pStyle w:val="Compact"/>
      </w:pPr>
      <w:r>
        <w:rPr>
          <w:bCs/>
          <w:b/>
        </w:rPr>
        <w:t xml:space="preserve">Year 5–10:</w:t>
      </w:r>
      <w:r>
        <w:t xml:space="preserve"> </w:t>
      </w:r>
      <w:r>
        <w:t xml:space="preserve">Traditional deductions begin predictable phase-down—depreciation, R&amp;D credits, interest deductions, loss carryforwards all reduced on published schedules.</w:t>
      </w:r>
    </w:p>
    <w:p>
      <w:pPr>
        <w:numPr>
          <w:ilvl w:val="0"/>
          <w:numId w:val="1004"/>
        </w:numPr>
        <w:pStyle w:val="Compact"/>
      </w:pPr>
      <w:r>
        <w:rPr>
          <w:bCs/>
          <w:b/>
        </w:rPr>
        <w:t xml:space="preserve">Year 10–15:</w:t>
      </w:r>
      <w:r>
        <w:t xml:space="preserve"> </w:t>
      </w:r>
      <w:r>
        <w:t xml:space="preserve">HC becomes the primary corporate tax benefit mechanism. The tax code simplifies to: Profit - HC Redemptions = Tax Liability.</w:t>
      </w:r>
    </w:p>
    <w:p>
      <w:pPr>
        <w:pStyle w:val="FirstParagraph"/>
      </w:pPr>
      <w:r>
        <w:t xml:space="preserve">When there is no other way to shelter income, participation in the Human Credit system becomes not just attractive but inevitable.</w:t>
      </w:r>
    </w:p>
    <w:bookmarkEnd w:id="77"/>
    <w:bookmarkStart w:id="78" w:name="strategy-3-credit-trading-fungibility"/>
    <w:p>
      <w:pPr>
        <w:pStyle w:val="Heading2"/>
      </w:pPr>
      <w:r>
        <w:t xml:space="preserve">Strategy 3: Credit Trading (Fungibility)</w:t>
      </w:r>
    </w:p>
    <w:p>
      <w:pPr>
        <w:pStyle w:val="FirstParagraph"/>
      </w:pPr>
      <w:r>
        <w:t xml:space="preserve">Not every company needs to directly help people. Credits can be bought and sold on an open exchange, allowing specialization. (See Deep Dive: Credit Marketplace Mechanics)</w:t>
      </w:r>
    </w:p>
    <w:bookmarkEnd w:id="78"/>
    <w:bookmarkStart w:id="79" w:name="strategy-4-refundability"/>
    <w:p>
      <w:pPr>
        <w:pStyle w:val="Heading2"/>
      </w:pPr>
      <w:r>
        <w:t xml:space="preserve">Strategy 4: Refundability</w:t>
      </w:r>
    </w:p>
    <w:p>
      <w:pPr>
        <w:pStyle w:val="FirstParagraph"/>
      </w:pPr>
      <w:r>
        <w:t xml:space="preserve">If earned credits exceed tax liability, government refunds the excess at face value. This mobilizes nonprofits, churches, and community organizations that have strong service capabilities but no tax liability to offset.</w:t>
      </w:r>
    </w:p>
    <w:p>
      <w:pPr>
        <w:pStyle w:val="BodyText"/>
      </w:pPr>
      <w:r>
        <w:rPr>
          <w:bCs/>
          <w:b/>
        </w:rPr>
        <w:t xml:space="preserve">Combined Effect:</w:t>
      </w:r>
    </w:p>
    <w:p>
      <w:pPr>
        <w:numPr>
          <w:ilvl w:val="0"/>
          <w:numId w:val="1005"/>
        </w:numPr>
        <w:pStyle w:val="Compact"/>
      </w:pPr>
      <w:r>
        <w:t xml:space="preserve">Progressive rates make participation attractive</w:t>
      </w:r>
    </w:p>
    <w:p>
      <w:pPr>
        <w:numPr>
          <w:ilvl w:val="0"/>
          <w:numId w:val="1005"/>
        </w:numPr>
        <w:pStyle w:val="Compact"/>
      </w:pPr>
      <w:r>
        <w:t xml:space="preserve">Phasing out alternative tax avoidance ensures HC becomes the primary path to tax relief</w:t>
      </w:r>
    </w:p>
    <w:p>
      <w:pPr>
        <w:numPr>
          <w:ilvl w:val="0"/>
          <w:numId w:val="1005"/>
        </w:numPr>
        <w:pStyle w:val="Compact"/>
      </w:pPr>
      <w:r>
        <w:t xml:space="preserve">Trading allows indirect participation and specialization</w:t>
      </w:r>
    </w:p>
    <w:p>
      <w:pPr>
        <w:numPr>
          <w:ilvl w:val="0"/>
          <w:numId w:val="1005"/>
        </w:numPr>
        <w:pStyle w:val="Compact"/>
      </w:pPr>
      <w:r>
        <w:t xml:space="preserve">Refundability mobilizes the nonprofit sector</w:t>
      </w:r>
    </w:p>
    <w:p>
      <w:pPr>
        <w:pStyle w:val="FirstParagraph"/>
      </w:pPr>
      <w:r>
        <w:rPr>
          <w:bCs/>
          <w:b/>
        </w:rPr>
        <w:t xml:space="preserve">Result:</w:t>
      </w:r>
      <w:r>
        <w:t xml:space="preserve"> </w:t>
      </w:r>
      <w:r>
        <w:t xml:space="preserve">Participation becomes both voluntary and inevitable.</w:t>
      </w:r>
    </w:p>
    <w:p>
      <w:r>
        <w:pict>
          <v:rect style="width:0;height:1.5pt" o:hralign="center" o:hrstd="t" o:hr="t"/>
        </w:pict>
      </w:r>
    </w:p>
    <w:bookmarkEnd w:id="79"/>
    <w:bookmarkStart w:id="80" w:name="about-this-document"/>
    <w:p>
      <w:pPr>
        <w:pStyle w:val="Heading2"/>
      </w:pPr>
      <w:r>
        <w:t xml:space="preserve">About This Document</w:t>
      </w:r>
    </w:p>
    <w:p>
      <w:pPr>
        <w:pStyle w:val="FirstParagraph"/>
      </w:pPr>
      <w:r>
        <w:t xml:space="preserve">These deep dives are companion material to the Human Credit System Whitepaper (v0.0.25). They provide detailed analysis on specific topics and are offered freely for public domain discourse and improvement.</w:t>
      </w:r>
    </w:p>
    <w:p>
      <w:pPr>
        <w:pStyle w:val="BodyText"/>
      </w:pPr>
      <w:r>
        <w:t xml:space="preserve">Contact:</w:t>
      </w:r>
      <w:r>
        <w:t xml:space="preserve"> </w:t>
      </w:r>
      <w:r>
        <w:rPr>
          <w:bCs/>
          <w:b/>
        </w:rPr>
        <w:t xml:space="preserve">humancredit.org</w:t>
      </w:r>
    </w:p>
    <w:p>
      <w:pPr>
        <w:pStyle w:val="BodyText"/>
      </w:pPr>
      <w:r>
        <w:t xml:space="preserve">Version 0.0.25 — February 2026</w:t>
      </w:r>
    </w:p>
    <w:bookmarkEnd w:id="80"/>
    <w:bookmarkEnd w:id="8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svgz" /><Relationship Type="http://schemas.openxmlformats.org/officeDocument/2006/relationships/image" Id="rId38" Target="media/rId38.svgz"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Credit System — Deep Dives</dc:title>
  <dc:creator/>
  <dc:language>en</dc:language>
  <cp:keywords/>
  <dcterms:created xsi:type="dcterms:W3CDTF">2026-02-07T21:29:05Z</dcterms:created>
  <dcterms:modified xsi:type="dcterms:W3CDTF">2026-02-07T21:29:05Z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